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26-168</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 418</w:t>
      </w:r>
    </w:p>
    <w:p>
      <w:pPr>
        <w:spacing w:before="0" w:after="0" w:line="480"/>
        <w:ind w:left="120"/>
        <w:jc w:val="center"/>
      </w:pPr>
      <w:r>
        <w:rPr>
          <w:rFonts w:ascii="Times New Roman" w:hAnsi="Times New Roman"/>
          <w:b w:val="false"/>
          <w:i w:val="false"/>
          <w:color w:val="000000"/>
          <w:sz w:val="24"/>
        </w:rPr>
        <w:t>“Historic Property Rehabilitation Tax Exemption”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15.121 and 427.16</w:t>
      </w:r>
    </w:p>
    <w:p>
      <w:pPr>
        <w:spacing w:before="0" w:after="0" w:line="480"/>
        <w:ind w:left="120"/>
        <w:jc w:val="both"/>
      </w:pPr>
      <w:r>
        <w:rPr>
          <w:rFonts w:ascii="Times New Roman" w:hAnsi="Times New Roman"/>
          <w:b w:val="false"/>
          <w:i w:val="false"/>
          <w:color w:val="000000"/>
          <w:sz w:val="24"/>
        </w:rPr>
        <w:t>State or federal law(s) implemented by the rulemaking: Iowa Code sections 15.121 and 427.16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9:30 to 9:45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Information about Teams participation </w:t>
            </w:r>
            <w:r>
              <w:br/>
            </w:r>
            <w:r>
              <w:rPr>
                <w:rFonts w:ascii="Times New Roman" w:hAnsi="Times New Roman"/>
                <w:b w:val="false"/>
                <w:i w:val="false"/>
                <w:color w:val="000000"/>
                <w:sz w:val="14"/>
              </w:rPr>
              <w:t>can be found at</w:t>
            </w:r>
            <w:r>
              <w:br/>
            </w:r>
            <w:hyperlink r:id="rId4">
              <w:r>
                <w:rPr>
                  <w:rStyle w:val="Hyperlink"/>
                  <w:rFonts w:ascii="Times New Roman" w:hAnsi="Times New Roman"/>
                  <w:b w:val="false"/>
                  <w:i w:val="false"/>
                  <w:color w:val="0000ff"/>
                  <w:sz w:val="1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Economic Development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Reid Nennig</w:t>
            </w:r>
            <w:r>
              <w:br/>
            </w:r>
            <w:r>
              <w:rPr>
                <w:rFonts w:ascii="Times New Roman" w:hAnsi="Times New Roman"/>
                <w:b w:val="false"/>
                <w:i w:val="false"/>
                <w:color w:val="000000"/>
                <w:sz w:val="14"/>
              </w:rPr>
              <w:t>Iowa Economic Development Authority</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reid.nennig@iowafinance.com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adopt a new Chapter 418. The chapter will replace 223—Chapter 47, which was adopted by the State Historic Preservation Office (Office) prior to its alignment with the Authority in 2023 Iowa Acts, Senate File 514. 223—Chapter 47 is proposed to be rescinded as part of a concurrent rulemaking (</w:t>
      </w:r>
      <w:r>
        <w:rPr>
          <w:rFonts w:ascii="Times New Roman" w:hAnsi="Times New Roman"/>
          <w:b/>
          <w:i w:val="false"/>
          <w:color w:val="000000"/>
          <w:sz w:val="24"/>
        </w:rPr>
        <w:t>RA 26-174</w:t>
      </w:r>
      <w:r>
        <w:rPr>
          <w:rFonts w:ascii="Times New Roman" w:hAnsi="Times New Roman"/>
          <w:b w:val="false"/>
          <w:i w:val="false"/>
          <w:color w:val="000000"/>
          <w:sz w:val="24"/>
        </w:rPr>
        <w:t>, IAB 7/22/26).</w:t>
      </w:r>
    </w:p>
    <w:p>
      <w:pPr>
        <w:spacing w:before="0" w:after="0" w:line="480"/>
        <w:ind w:left="120"/>
        <w:jc w:val="both"/>
      </w:pPr>
      <w:r>
        <w:rPr>
          <w:rFonts w:ascii="Times New Roman" w:hAnsi="Times New Roman"/>
          <w:b w:val="false"/>
          <w:i w:val="false"/>
          <w:color w:val="000000"/>
          <w:sz w:val="24"/>
        </w:rPr>
        <w:t>    The new chapter describes the responsibilities and policies of the State Historic Preservation Officer (SHPO) and staff of the Office relating to the historic property rehabilitation tax exemption available pursuant to Iowa Code section 427.16.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Applicants for and recipients of tax exemptions will bear the costs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Applicants for and recipients of tax exemptions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Entities applying for tax exemptions may require staff time to complete an application. Some applicants and recipients may choose to rely on an external service provider to complete these tasks. The amount of the costs will vary depending on the compensation of staff or service providers involved.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Only entities and individuals that will potentially benefit from the tax exemption incur any costs. The costs to the State to administer the program are proportional to the activities incented.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Staff time is required to review and prepare applications for approval and communicate with applicants and recipients.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rulemaking does not have an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costs associated with the rulemaking are necessary for the administration of the tax exemption.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methods or less intrusive methods for administering the tax exemption.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impacts only small businesses seeking tax exemptions. The requirements are no more stringent than necessary to implement the purposes of the exemption. The rulemaking does not establish schedules or deadlines for small businesses. The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261—Chapter 418</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418</w:t>
      </w:r>
    </w:p>
    <w:p>
      <w:pPr>
        <w:spacing w:before="0" w:after="0" w:line="480"/>
        <w:ind w:left="120"/>
        <w:jc w:val="center"/>
      </w:pPr>
      <w:r>
        <w:rPr>
          <w:rFonts w:ascii="Times New Roman" w:hAnsi="Times New Roman"/>
          <w:b w:val="false"/>
          <w:i w:val="false"/>
          <w:color w:val="000000"/>
          <w:sz w:val="21"/>
        </w:rPr>
        <w:t>HISTORIC PROPERTY REHABILITATION TAX EXEMPTION</w:t>
      </w:r>
    </w:p>
    <w:p>
      <w:pPr>
        <w:spacing w:before="0" w:after="0" w:line="480"/>
        <w:ind w:left="120"/>
        <w:jc w:val="both"/>
      </w:pPr>
      <w:r>
        <w:rPr>
          <w:rFonts w:ascii="Times New Roman" w:hAnsi="Times New Roman"/>
          <w:b/>
          <w:i w:val="false"/>
          <w:color w:val="000000"/>
          <w:sz w:val="24"/>
        </w:rPr>
        <w:t>261—418.1</w:t>
      </w:r>
      <w:r>
        <w:rPr>
          <w:rFonts w:ascii="Times New Roman" w:hAnsi="Times New Roman"/>
          <w:b/>
          <w:i w:val="false"/>
          <w:color w:val="000000"/>
          <w:sz w:val="24"/>
        </w:rPr>
        <w:t xml:space="preserve">(15,427)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“Adjusted basis”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427.16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“Application for exemption”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application for a property tax exemption filed with the applicable assessor pursuant to Iowa Code section </w:t>
      </w:r>
      <w:hyperlink r:id="rId7">
        <w:r>
          <w:rPr>
            <w:rStyle w:val="Hyperlink"/>
            <w:rFonts w:ascii="Times New Roman" w:hAnsi="Times New Roman"/>
            <w:b w:val="false"/>
            <w:i w:val="false"/>
            <w:color w:val="000000"/>
            <w:sz w:val="24"/>
          </w:rPr>
          <w:t>427.16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economic development authority created in Iowa Code section </w:t>
      </w:r>
      <w:hyperlink r:id="rId8">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“Certification”</w:t>
      </w:r>
      <w:r>
        <w:rPr>
          <w:rFonts w:ascii="Times New Roman" w:hAnsi="Times New Roman"/>
          <w:b w:val="false"/>
          <w:i/>
          <w:color w:val="000000"/>
          <w:sz w:val="24"/>
          <w:u w:val="single"/>
        </w:rPr>
        <w:t> </w:t>
      </w:r>
      <w:r>
        <w:rPr>
          <w:rFonts w:ascii="Times New Roman" w:hAnsi="Times New Roman"/>
          <w:b w:val="false"/>
          <w:i w:val="false"/>
          <w:color w:val="000000"/>
          <w:sz w:val="24"/>
        </w:rPr>
        <w:t>means confirmation, following completion of an entire project, that substantial rehabilitation work for a historic property meets the federal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“Exemption”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temporary release from the increase in valuation due to certified substantial rehabilitation of a historic property contemplated by Iowa Code section </w:t>
      </w:r>
      <w:hyperlink r:id="rId9">
        <w:r>
          <w:rPr>
            <w:rStyle w:val="Hyperlink"/>
            <w:rFonts w:ascii="Times New Roman" w:hAnsi="Times New Roman"/>
            <w:b w:val="false"/>
            <w:i w:val="false"/>
            <w:color w:val="000000"/>
            <w:sz w:val="24"/>
          </w:rPr>
          <w:t>427.16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“Federal standards”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U.S. Secretary of the Interior’s standards for rehabilitation set forth in </w:t>
      </w:r>
      <w:r>
        <w:rPr>
          <w:rFonts w:ascii="Times New Roman" w:hAnsi="Times New Roman"/>
          <w:b w:val="false"/>
          <w:i w:val="false"/>
          <w:color w:val="000000"/>
          <w:sz w:val="24"/>
        </w:rPr>
        <w:t>36 CFR 67.7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“Historic property”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427.16(7)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1 application”</w:t>
      </w:r>
      <w:r>
        <w:rPr>
          <w:rFonts w:ascii="Times New Roman" w:hAnsi="Times New Roman"/>
          <w:b w:val="false"/>
          <w:i/>
          <w:color w:val="000000"/>
          <w:sz w:val="24"/>
          <w:u w:val="single"/>
        </w:rPr>
        <w:t> </w:t>
      </w:r>
      <w:r>
        <w:rPr>
          <w:rFonts w:ascii="Times New Roman" w:hAnsi="Times New Roman"/>
          <w:b w:val="false"/>
          <w:i w:val="false"/>
          <w:color w:val="000000"/>
          <w:sz w:val="24"/>
        </w:rPr>
        <w:t>means an application submitted to the authority to determine whether a property is a historic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2 application”</w:t>
      </w:r>
      <w:r>
        <w:rPr>
          <w:rFonts w:ascii="Times New Roman" w:hAnsi="Times New Roman"/>
          <w:b w:val="false"/>
          <w:i/>
          <w:color w:val="000000"/>
          <w:sz w:val="24"/>
          <w:u w:val="single"/>
        </w:rPr>
        <w:t> </w:t>
      </w:r>
      <w:r>
        <w:rPr>
          <w:rFonts w:ascii="Times New Roman" w:hAnsi="Times New Roman"/>
          <w:b w:val="false"/>
          <w:i w:val="false"/>
          <w:color w:val="000000"/>
          <w:sz w:val="24"/>
        </w:rPr>
        <w:t>means an application submitted to the authority to determine whether the proposed rehabilitation work for a historic property meets federal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3 application”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application submitted to the authority to determine whether the rehabilitation work for a historic property has been completed in accordance with the federal standards and that the expenditure constitutes a certified substantial rehabilitation.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“Property owner”</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or corporation that is the owner of real estate for taxation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historic preservation officer”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“SHPO”</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officer appointed and certified pursuant to Iowa Code section </w:t>
      </w:r>
      <w:hyperlink r:id="rId11">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“Substantial rehabilitation”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427.16(8)</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261—418.2</w:t>
      </w:r>
      <w:r>
        <w:rPr>
          <w:rFonts w:ascii="Times New Roman" w:hAnsi="Times New Roman"/>
          <w:b/>
          <w:i w:val="false"/>
          <w:color w:val="000000"/>
          <w:sz w:val="24"/>
        </w:rPr>
        <w:t xml:space="preserve">(15,427) </w:t>
      </w:r>
      <w:r>
        <w:rPr>
          <w:rFonts w:ascii="Times New Roman" w:hAnsi="Times New Roman"/>
          <w:b/>
          <w:i w:val="false"/>
          <w:color w:val="000000"/>
          <w:sz w:val="24"/>
        </w:rPr>
        <w:t xml:space="preserve">Program administration. </w:t>
      </w:r>
      <w:r>
        <w:rPr>
          <w:rFonts w:ascii="Times New Roman" w:hAnsi="Times New Roman"/>
          <w:b w:val="false"/>
          <w:i w:val="false"/>
          <w:color w:val="000000"/>
          <w:sz w:val="24"/>
        </w:rPr>
        <w:t xml:space="preserve">Boards of supervisors administer historic property tax exemptions pursuant to Iowa Code section </w:t>
      </w:r>
      <w:hyperlink r:id="rId13">
        <w:r>
          <w:rPr>
            <w:rStyle w:val="Hyperlink"/>
            <w:rFonts w:ascii="Times New Roman" w:hAnsi="Times New Roman"/>
            <w:b w:val="false"/>
            <w:i w:val="false"/>
            <w:color w:val="000000"/>
            <w:sz w:val="24"/>
          </w:rPr>
          <w:t>427.16</w:t>
        </w:r>
      </w:hyperlink>
      <w:r>
        <w:rPr>
          <w:rFonts w:ascii="Times New Roman" w:hAnsi="Times New Roman"/>
          <w:b w:val="false"/>
          <w:i w:val="false"/>
          <w:color w:val="000000"/>
          <w:sz w:val="24"/>
        </w:rPr>
        <w:t>. The SHPO approves certifications for inclusion with an exemption application pursuant to this chapter.</w:t>
      </w:r>
    </w:p>
    <w:p>
      <w:pPr>
        <w:spacing w:before="0" w:after="0" w:line="480"/>
        <w:ind w:left="120"/>
        <w:jc w:val="both"/>
      </w:pPr>
      <w:r>
        <w:rPr>
          <w:rFonts w:ascii="Times New Roman" w:hAnsi="Times New Roman"/>
          <w:b/>
          <w:i w:val="false"/>
          <w:color w:val="000000"/>
          <w:sz w:val="24"/>
        </w:rPr>
        <w:t>261—418.3</w:t>
      </w:r>
      <w:r>
        <w:rPr>
          <w:rFonts w:ascii="Times New Roman" w:hAnsi="Times New Roman"/>
          <w:b/>
          <w:i w:val="false"/>
          <w:color w:val="000000"/>
          <w:sz w:val="24"/>
        </w:rPr>
        <w:t xml:space="preserve">(15,427) </w:t>
      </w:r>
      <w:r>
        <w:rPr>
          <w:rFonts w:ascii="Times New Roman" w:hAnsi="Times New Roman"/>
          <w:b/>
          <w:i w:val="false"/>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418.3(1)</w:t>
      </w:r>
      <w:r>
        <w:rPr>
          <w:rFonts w:ascii="Times New Roman" w:hAnsi="Times New Roman"/>
          <w:b w:val="false"/>
          <w:i w:val="false"/>
          <w:color w:val="000000"/>
          <w:sz w:val="24"/>
        </w:rPr>
        <w:t> </w:t>
      </w:r>
      <w:r>
        <w:rPr>
          <w:rFonts w:ascii="Times New Roman" w:hAnsi="Times New Roman"/>
          <w:b w:val="false"/>
          <w:i w:val="false"/>
          <w:color w:val="000000"/>
          <w:sz w:val="24"/>
        </w:rPr>
        <w:t xml:space="preserve">A property owner may apply for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418.3(2)</w:t>
      </w:r>
      <w:r>
        <w:rPr>
          <w:rFonts w:ascii="Times New Roman" w:hAnsi="Times New Roman"/>
          <w:b w:val="false"/>
          <w:i w:val="false"/>
          <w:color w:val="000000"/>
          <w:sz w:val="24"/>
        </w:rPr>
        <w:t> </w:t>
      </w:r>
      <w:r>
        <w:rPr>
          <w:rFonts w:ascii="Times New Roman" w:hAnsi="Times New Roman"/>
          <w:b w:val="false"/>
          <w:i w:val="false"/>
          <w:color w:val="000000"/>
          <w:sz w:val="24"/>
        </w:rPr>
        <w:t xml:space="preserve">The SHPO will not approve a certification for a condominium. </w:t>
      </w:r>
    </w:p>
    <w:p>
      <w:pPr>
        <w:spacing w:before="0" w:after="0" w:line="480"/>
        <w:ind w:left="120"/>
        <w:jc w:val="both"/>
      </w:pPr>
      <w:r>
        <w:rPr>
          <w:rFonts w:ascii="Times New Roman" w:hAnsi="Times New Roman"/>
          <w:b/>
          <w:i w:val="false"/>
          <w:color w:val="000000"/>
          <w:sz w:val="24"/>
        </w:rPr>
        <w:t>261—418.4</w:t>
      </w:r>
      <w:r>
        <w:rPr>
          <w:rFonts w:ascii="Times New Roman" w:hAnsi="Times New Roman"/>
          <w:b/>
          <w:i w:val="false"/>
          <w:color w:val="000000"/>
          <w:sz w:val="24"/>
        </w:rPr>
        <w:t xml:space="preserve">(15,427) </w:t>
      </w:r>
      <w:r>
        <w:rPr>
          <w:rFonts w:ascii="Times New Roman" w:hAnsi="Times New Roman"/>
          <w:b/>
          <w:i w:val="false"/>
          <w:color w:val="000000"/>
          <w:sz w:val="24"/>
        </w:rPr>
        <w:t xml:space="preserve">Certification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418.4(1)</w:t>
      </w:r>
      <w:r>
        <w:rPr>
          <w:rFonts w:ascii="Times New Roman" w:hAnsi="Times New Roman"/>
          <w:b w:val="false"/>
          <w:i w:val="false"/>
          <w:color w:val="000000"/>
          <w:sz w:val="24"/>
        </w:rPr>
        <w:t> </w:t>
      </w:r>
      <w:r>
        <w:rPr>
          <w:rFonts w:ascii="Times New Roman" w:hAnsi="Times New Roman"/>
          <w:b w:val="false"/>
          <w:i w:val="false"/>
          <w:color w:val="000000"/>
          <w:sz w:val="24"/>
        </w:rPr>
        <w:t>All applications for certification shall be on such forms and in accordance with such instructions as may be established by the SHPO. Online applications and instructions may be obtained by visiting the authority’s website. An application shall not be considered submitted for review until the application is complete and all required supporting documentation and information are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418.4(2)</w:t>
      </w:r>
      <w:r>
        <w:rPr>
          <w:rFonts w:ascii="Times New Roman" w:hAnsi="Times New Roman"/>
          <w:b w:val="false"/>
          <w:i w:val="false"/>
          <w:color w:val="000000"/>
          <w:sz w:val="24"/>
        </w:rPr>
        <w:t> </w:t>
      </w:r>
      <w:r>
        <w:rPr>
          <w:rFonts w:ascii="Times New Roman" w:hAnsi="Times New Roman"/>
          <w:b w:val="false"/>
          <w:i w:val="false"/>
          <w:color w:val="000000"/>
          <w:sz w:val="24"/>
        </w:rPr>
        <w:t>Applications for certification shall provide historical, architectural and financial information and plans, photographs and maps as required on the application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Part 1 applications establish the significance of the property as a historic property. Photographs shall show the pre-rehabilitation condition of the property, including the interior and exterior, before any work or new construction begins.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Part 2 applications detail the existing conditions and the proposed rehabilitation workplan. Photographs shall show specific areas of work and both the interior and exterior conditions prior to the start of work. Photographs shall show the pre-rehabilitation condition of the property, including the interior and exterior, before any work or new construction begins.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Part 3 applications document the completed work. Photographs shall show specific areas where work has been completed and both the overall interior and exterior conditions after the completion of work. Part 3 applications shall include sufficient documentation to allow SHPO staff to determine whether the property has undergone a substantial rehabilitation. Such documentation may include but is not limited to a letter from the applicable county assessor establishing the taxpayer’s adjusted basis or verification of qualified expenditures by a certified public accountant authorized to practice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are strongly encouraged to obtain approvals on parts 1 and 2 of the application prior to the start of work to prevent delays in approval of certification or denials caused by rehabilitation work that is not completed in accordance with the federal standards. Applicants shall file completed part 3 applications with the authority on or before December 31 of the year the substantial rehabilitation is completed.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418.4(3)</w:t>
      </w:r>
      <w:r>
        <w:rPr>
          <w:rFonts w:ascii="Times New Roman" w:hAnsi="Times New Roman"/>
          <w:b w:val="false"/>
          <w:i w:val="false"/>
          <w:color w:val="000000"/>
          <w:sz w:val="24"/>
        </w:rPr>
        <w:t> </w:t>
      </w:r>
      <w:r>
        <w:rPr>
          <w:rFonts w:ascii="Times New Roman" w:hAnsi="Times New Roman"/>
          <w:b w:val="false"/>
          <w:i w:val="false"/>
          <w:color w:val="000000"/>
          <w:sz w:val="24"/>
        </w:rPr>
        <w:t>All applications will be reviewed by the SHPO within 30 days of receipt of a complete application. If the application is incomplete when submitted or if the SHPO requests additional information, the 30-day review period will restart when the SHPO receives the requested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418.4(4)</w:t>
      </w:r>
      <w:r>
        <w:rPr>
          <w:rFonts w:ascii="Times New Roman" w:hAnsi="Times New Roman"/>
          <w:b w:val="false"/>
          <w:i w:val="false"/>
          <w:color w:val="000000"/>
          <w:sz w:val="24"/>
        </w:rPr>
        <w:t> </w:t>
      </w:r>
      <w:r>
        <w:rPr>
          <w:rFonts w:ascii="Times New Roman" w:hAnsi="Times New Roman"/>
          <w:b w:val="false"/>
          <w:i w:val="false"/>
          <w:color w:val="000000"/>
          <w:sz w:val="24"/>
        </w:rPr>
        <w:t xml:space="preserve">Any modification to the original rehabilitation proposal following approval of a part 2 application requires that an applicant amend the part 2 application to request review of the modification. Amendments to the part 2 application may result in rescission of approval if the SHPO determines that the work does not meet the federal standards or does not otherwise comply with the requirements of the exemption. Amendments to the part 2 application will not be accepted after the authority has approved the part 3 application. Work completed after approval of certification may be reviewed pursuant to rule </w:t>
      </w:r>
      <w:hyperlink r:id="rId14">
        <w:r>
          <w:rPr>
            <w:rStyle w:val="Hyperlink"/>
            <w:rFonts w:ascii="Times New Roman" w:hAnsi="Times New Roman"/>
            <w:b w:val="false"/>
            <w:i w:val="false"/>
            <w:color w:val="000000"/>
            <w:sz w:val="24"/>
          </w:rPr>
          <w:t>261—418.6</w:t>
        </w:r>
      </w:hyperlink>
      <w:r>
        <w:rPr>
          <w:rFonts w:ascii="Times New Roman" w:hAnsi="Times New Roman"/>
          <w:b w:val="false"/>
          <w:i w:val="false"/>
          <w:color w:val="000000"/>
          <w:sz w:val="24"/>
        </w:rPr>
        <w:t>(15,427).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418.4(5)</w:t>
      </w:r>
      <w:r>
        <w:rPr>
          <w:rFonts w:ascii="Times New Roman" w:hAnsi="Times New Roman"/>
          <w:b w:val="false"/>
          <w:i w:val="false"/>
          <w:color w:val="000000"/>
          <w:sz w:val="24"/>
        </w:rPr>
        <w:t> </w:t>
      </w:r>
      <w:r>
        <w:rPr>
          <w:rFonts w:ascii="Times New Roman" w:hAnsi="Times New Roman"/>
          <w:b w:val="false"/>
          <w:i w:val="false"/>
          <w:color w:val="000000"/>
          <w:sz w:val="24"/>
        </w:rPr>
        <w:t>Materials submitted to the authority will not be returned.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418.4(6)</w:t>
      </w:r>
      <w:r>
        <w:rPr>
          <w:rFonts w:ascii="Times New Roman" w:hAnsi="Times New Roman"/>
          <w:b w:val="false"/>
          <w:i w:val="false"/>
          <w:color w:val="000000"/>
          <w:sz w:val="24"/>
        </w:rPr>
        <w:t> </w:t>
      </w:r>
      <w:r>
        <w:rPr>
          <w:rFonts w:ascii="Times New Roman" w:hAnsi="Times New Roman"/>
          <w:b w:val="false"/>
          <w:i w:val="false"/>
          <w:color w:val="000000"/>
          <w:sz w:val="24"/>
        </w:rPr>
        <w:t>The process of application for certification pursuant to this chapter does not substitute for any other reviews or applications that may be required of property owners.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418.4(7)</w:t>
      </w:r>
      <w:r>
        <w:rPr>
          <w:rFonts w:ascii="Times New Roman" w:hAnsi="Times New Roman"/>
          <w:b w:val="false"/>
          <w:i w:val="false"/>
          <w:color w:val="000000"/>
          <w:sz w:val="24"/>
        </w:rPr>
        <w:t> </w:t>
      </w:r>
      <w:r>
        <w:rPr>
          <w:rFonts w:ascii="Times New Roman" w:hAnsi="Times New Roman"/>
          <w:b w:val="false"/>
          <w:i w:val="false"/>
          <w:color w:val="000000"/>
          <w:sz w:val="24"/>
        </w:rPr>
        <w:t>Inquiries concerning information required, historic property eligibility, and review criteria should be addressed to the authority.</w:t>
      </w:r>
    </w:p>
    <w:p>
      <w:pPr>
        <w:spacing w:before="0" w:after="0" w:line="480"/>
        <w:ind w:left="120"/>
        <w:jc w:val="both"/>
      </w:pPr>
      <w:r>
        <w:rPr>
          <w:rFonts w:ascii="Times New Roman" w:hAnsi="Times New Roman"/>
          <w:b/>
          <w:i w:val="false"/>
          <w:color w:val="000000"/>
          <w:sz w:val="24"/>
        </w:rPr>
        <w:t>261—418.5</w:t>
      </w:r>
      <w:r>
        <w:rPr>
          <w:rFonts w:ascii="Times New Roman" w:hAnsi="Times New Roman"/>
          <w:b/>
          <w:i w:val="false"/>
          <w:color w:val="000000"/>
          <w:sz w:val="24"/>
        </w:rPr>
        <w:t xml:space="preserve">(15,427) </w:t>
      </w:r>
      <w:r>
        <w:rPr>
          <w:rFonts w:ascii="Times New Roman" w:hAnsi="Times New Roman"/>
          <w:b/>
          <w:i w:val="false"/>
          <w:color w:val="000000"/>
          <w:sz w:val="24"/>
        </w:rPr>
        <w:t xml:space="preserve">Review and approval standards for applications for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418.5(1)</w:t>
      </w:r>
      <w:r>
        <w:rPr>
          <w:rFonts w:ascii="Times New Roman" w:hAnsi="Times New Roman"/>
          <w:b w:val="false"/>
          <w:i w:val="false"/>
          <w:color w:val="000000"/>
          <w:sz w:val="24"/>
        </w:rPr>
        <w:t> </w:t>
      </w:r>
      <w:r>
        <w:rPr>
          <w:rFonts w:ascii="Times New Roman" w:hAnsi="Times New Roman"/>
          <w:b w:val="false"/>
          <w:i w:val="false"/>
          <w:color w:val="000000"/>
          <w:sz w:val="24"/>
        </w:rPr>
        <w:t>Project certification shall be based on the federal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418.5(2)</w:t>
      </w:r>
      <w:r>
        <w:rPr>
          <w:rFonts w:ascii="Times New Roman" w:hAnsi="Times New Roman"/>
          <w:b w:val="false"/>
          <w:i w:val="false"/>
          <w:color w:val="000000"/>
          <w:sz w:val="24"/>
        </w:rPr>
        <w:t> </w:t>
      </w:r>
      <w:r>
        <w:rPr>
          <w:rFonts w:ascii="Times New Roman" w:hAnsi="Times New Roman"/>
          <w:b w:val="false"/>
          <w:i w:val="false"/>
          <w:color w:val="000000"/>
          <w:sz w:val="24"/>
        </w:rPr>
        <w:t>The standards apply to interior and exterior work. All reviews shall consider the entire rehabilitation project, including any new construction on site, rather than only a limited segment of the project. Certification shall be based on conformity of the total project to the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418.5(3)</w:t>
      </w:r>
      <w:r>
        <w:rPr>
          <w:rFonts w:ascii="Times New Roman" w:hAnsi="Times New Roman"/>
          <w:b w:val="false"/>
          <w:i w:val="false"/>
          <w:color w:val="000000"/>
          <w:sz w:val="24"/>
        </w:rPr>
        <w:t> </w:t>
      </w:r>
      <w:r>
        <w:rPr>
          <w:rFonts w:ascii="Times New Roman" w:hAnsi="Times New Roman"/>
          <w:b w:val="false"/>
          <w:i w:val="false"/>
          <w:color w:val="000000"/>
          <w:sz w:val="24"/>
        </w:rPr>
        <w:t>If required documentation is incomplete and the review and evaluation cannot be completed following a request for additional information and if no response is provided within one year, the application may be considered abandoned or, if applicable, the requested certification denied. The applicant shall be notified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418.5(4)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SHPO approves certification, the applicant shall be notified in writing. </w:t>
      </w:r>
    </w:p>
    <w:p>
      <w:pPr>
        <w:spacing w:before="210" w:after="0" w:line="480"/>
        <w:ind w:left="120"/>
        <w:jc w:val="both"/>
      </w:pPr>
      <w:r>
        <w:rPr>
          <w:rFonts w:ascii="Times New Roman" w:hAnsi="Times New Roman"/>
          <w:b/>
          <w:i w:val="false"/>
          <w:color w:val="000000"/>
          <w:sz w:val="24"/>
        </w:rPr>
        <w:t>261—418.6</w:t>
      </w:r>
      <w:r>
        <w:rPr>
          <w:rFonts w:ascii="Times New Roman" w:hAnsi="Times New Roman"/>
          <w:b/>
          <w:i w:val="false"/>
          <w:color w:val="000000"/>
          <w:sz w:val="24"/>
        </w:rPr>
        <w:t xml:space="preserve">(15,427) </w:t>
      </w:r>
      <w:r>
        <w:rPr>
          <w:rFonts w:ascii="Times New Roman" w:hAnsi="Times New Roman"/>
          <w:b/>
          <w:i w:val="false"/>
          <w:color w:val="000000"/>
          <w:sz w:val="24"/>
        </w:rPr>
        <w:t xml:space="preserve">Revocation of certification. </w:t>
      </w:r>
      <w:r>
        <w:rPr>
          <w:rFonts w:ascii="Times New Roman" w:hAnsi="Times New Roman"/>
          <w:b w:val="false"/>
          <w:i w:val="false"/>
          <w:color w:val="000000"/>
          <w:sz w:val="24"/>
        </w:rPr>
        <w:t xml:space="preserve">The SHPO may revoke certification of a historic property if, during the period of the exemption, work is completed for the historic property that does not meet the federal standards. Proposed work for the historic property following approval of certification should be reviewed by the SHPO to ensure continued certification. </w:t>
      </w:r>
    </w:p>
    <w:p>
      <w:pPr>
        <w:spacing w:before="210" w:after="0" w:line="480"/>
        <w:ind w:left="120"/>
        <w:jc w:val="both"/>
      </w:pPr>
      <w:r>
        <w:rPr>
          <w:rFonts w:ascii="Times New Roman" w:hAnsi="Times New Roman"/>
          <w:b/>
          <w:i w:val="false"/>
          <w:color w:val="000000"/>
          <w:sz w:val="24"/>
        </w:rPr>
        <w:t>261—418.7</w:t>
      </w:r>
      <w:r>
        <w:rPr>
          <w:rFonts w:ascii="Times New Roman" w:hAnsi="Times New Roman"/>
          <w:b/>
          <w:i w:val="false"/>
          <w:color w:val="000000"/>
          <w:sz w:val="24"/>
        </w:rPr>
        <w:t xml:space="preserve">(15,427) </w:t>
      </w:r>
      <w:r>
        <w:rPr>
          <w:rFonts w:ascii="Times New Roman" w:hAnsi="Times New Roman"/>
          <w:b/>
          <w:i w:val="false"/>
          <w:color w:val="000000"/>
          <w:sz w:val="24"/>
        </w:rPr>
        <w:t xml:space="preserve">Application for exemption. </w:t>
      </w:r>
      <w:r>
        <w:rPr>
          <w:rFonts w:ascii="Times New Roman" w:hAnsi="Times New Roman"/>
          <w:b w:val="false"/>
          <w:i w:val="false"/>
          <w:color w:val="000000"/>
          <w:sz w:val="24"/>
        </w:rPr>
        <w:t xml:space="preserve">Application for exemption forms may be obtained from the office of the appropriate assessor or board of supervisors and submitted as directed in Iowa Code section </w:t>
      </w:r>
      <w:hyperlink r:id="rId15">
        <w:r>
          <w:rPr>
            <w:rStyle w:val="Hyperlink"/>
            <w:rFonts w:ascii="Times New Roman" w:hAnsi="Times New Roman"/>
            <w:b w:val="false"/>
            <w:i w:val="false"/>
            <w:color w:val="000000"/>
            <w:sz w:val="24"/>
          </w:rPr>
          <w:t>427.16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261—418.8</w:t>
      </w:r>
      <w:r>
        <w:rPr>
          <w:rFonts w:ascii="Times New Roman" w:hAnsi="Times New Roman"/>
          <w:b/>
          <w:i w:val="false"/>
          <w:color w:val="000000"/>
          <w:sz w:val="24"/>
        </w:rPr>
        <w:t xml:space="preserve">(15,427)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Decisions made by the authority may be appealed pursuant to Iowa Code chapter </w:t>
      </w:r>
      <w:hyperlink r:id="rId1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261—418.9</w:t>
      </w:r>
      <w:r>
        <w:rPr>
          <w:rFonts w:ascii="Times New Roman" w:hAnsi="Times New Roman"/>
          <w:b/>
          <w:i w:val="false"/>
          <w:color w:val="000000"/>
          <w:sz w:val="24"/>
        </w:rPr>
        <w:t xml:space="preserve">(15,427)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Code of Federal Regulations are to the laws as in effect on [effective date of this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7">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427.16</w:t>
        </w:r>
      </w:hyperlink>
      <w:r>
        <w:rPr>
          <w:rFonts w:ascii="Times New Roman" w:hAnsi="Times New Roman"/>
          <w:b w:val="false"/>
          <w:i w:val="false"/>
          <w:color w:val="000000"/>
          <w:sz w:val="24"/>
        </w:rPr>
        <w:t>.</w:t>
      </w:r>
    </w:p>
    <w:sectPr>
      <w:footerReference r:id="rId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reid.nennig@iowafinance.com" Type="http://schemas.openxmlformats.org/officeDocument/2006/relationships/hyperlink" Id="rId5"/>
    <Relationship TargetMode="External" Target="https://www.legis.iowa.gov/docs/ico/chapter/427.16.pdf" Type="http://schemas.openxmlformats.org/officeDocument/2006/relationships/hyperlink" Id="rId6"/>
    <Relationship TargetMode="External" Target="https://www.legis.iowa.gov/docs/ico/chapter/427.16.pdf"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co/chapter/427.16.pdf" Type="http://schemas.openxmlformats.org/officeDocument/2006/relationships/hyperlink" Id="rId9"/>
    <Relationship TargetMode="External" Target="https://www.legis.iowa.gov/docs/ico/chapter/427.16.pdf" Type="http://schemas.openxmlformats.org/officeDocument/2006/relationships/hyperlink" Id="rId10"/>
    <Relationship TargetMode="External" Target="https://www.legis.iowa.gov/docs/ico/chapter/15.121.pdf" Type="http://schemas.openxmlformats.org/officeDocument/2006/relationships/hyperlink" Id="rId11"/>
    <Relationship TargetMode="External" Target="https://www.legis.iowa.gov/docs/ico/chapter/427.16.pdf" Type="http://schemas.openxmlformats.org/officeDocument/2006/relationships/hyperlink" Id="rId12"/>
    <Relationship TargetMode="External" Target="https://www.legis.iowa.gov/docs/ico/chapter/427.16.pdf" Type="http://schemas.openxmlformats.org/officeDocument/2006/relationships/hyperlink" Id="rId13"/>
    <Relationship TargetMode="External" Target="https://www.legis.iowa.gov/docs/iac/rule/261.418.6.pdf" Type="http://schemas.openxmlformats.org/officeDocument/2006/relationships/hyperlink" Id="rId14"/>
    <Relationship TargetMode="External" Target="https://www.legis.iowa.gov/docs/ico/chapter/427.16.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5.121.pdf" Type="http://schemas.openxmlformats.org/officeDocument/2006/relationships/hyperlink" Id="rId17"/>
    <Relationship TargetMode="External" Target="https://www.legis.iowa.gov/docs/ico/chapter/427.16.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